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522F1A85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6E0C1D">
        <w:rPr>
          <w:rFonts w:ascii="Verdana" w:hAnsi="Verdana"/>
          <w:sz w:val="18"/>
          <w:szCs w:val="18"/>
        </w:rPr>
        <w:t>„</w:t>
      </w:r>
      <w:r w:rsidR="006E0C1D" w:rsidRPr="003F5BD0">
        <w:rPr>
          <w:rFonts w:ascii="Verdana" w:hAnsi="Verdana"/>
          <w:b/>
          <w:bCs/>
          <w:sz w:val="18"/>
          <w:szCs w:val="18"/>
        </w:rPr>
        <w:t>Nákup měřícího zařízení podzemních inženýrských sítí pro OŘ PHA 2024</w:t>
      </w:r>
      <w:r w:rsidR="006E0C1D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64D" w14:textId="67D2FE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0C1D" w:rsidRPr="006E0C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0C1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2018-11-26T13:17:00Z</dcterms:created>
  <dcterms:modified xsi:type="dcterms:W3CDTF">2024-03-19T11:56:00Z</dcterms:modified>
</cp:coreProperties>
</file>